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15</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 xml:space="preserve">on </w:t>
      </w:r>
      <w:bookmarkEnd w:id="4"/>
      <w:r>
        <w:rPr>
          <w:rFonts w:hint="eastAsia" w:ascii="Arial" w:hAnsi="Arial" w:eastAsia="宋体" w:cs="Arial"/>
          <w:b/>
          <w:bCs/>
          <w:sz w:val="24"/>
          <w:lang w:val="en-US" w:eastAsia="zh-CN"/>
        </w:rPr>
        <w:t>BFD and BFR requirements for IAB MT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6.5.3.5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 xml:space="preserve">In RAN #86, it was agreed that BFD and BFR requirements need to be specified at least for micro type IAB MTs [1]. Details are left out regarding how the requirements should look like and what is the definition of different types of IAB MTs. </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RAN4 94-e-bis, following options were captured in the WF [2]:</w:t>
      </w:r>
    </w:p>
    <w:tbl>
      <w:tblPr>
        <w:tblStyle w:val="19"/>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843" w:type="dxa"/>
          </w:tcPr>
          <w:p>
            <w:pPr>
              <w:pStyle w:val="3"/>
            </w:pPr>
            <w:r>
              <w:t>Beam sweeping factor N for FR2 during CBD evaluation period of IAB-MTs</w:t>
            </w:r>
          </w:p>
          <w:p>
            <w:pPr>
              <w:rPr>
                <w:lang w:val="sv-SE" w:eastAsia="zh-CN"/>
              </w:rPr>
            </w:pPr>
          </w:p>
          <w:p>
            <w:pPr>
              <w:pStyle w:val="4"/>
              <w:rPr>
                <w:highlight w:val="yellow"/>
              </w:rPr>
            </w:pPr>
            <w:r>
              <w:rPr>
                <w:highlight w:val="yellow"/>
              </w:rPr>
              <w:t>Tentative agreement</w:t>
            </w:r>
          </w:p>
          <w:p>
            <w:pPr>
              <w:rPr>
                <w:rFonts w:eastAsiaTheme="minorEastAsia"/>
                <w:iCs/>
                <w:highlight w:val="yellow"/>
                <w:lang w:val="en-US" w:eastAsia="zh-CN"/>
              </w:rPr>
            </w:pPr>
            <w:r>
              <w:rPr>
                <w:rFonts w:eastAsiaTheme="minorEastAsia"/>
                <w:iCs/>
                <w:highlight w:val="yellow"/>
                <w:lang w:val="en-US" w:eastAsia="zh-CN"/>
              </w:rPr>
              <w:t>For IAB CBD requirement, down-select beam sweeping factor N for FR2 from following options during the next meeting</w:t>
            </w:r>
          </w:p>
          <w:p>
            <w:pPr>
              <w:pStyle w:val="26"/>
              <w:numPr>
                <w:ilvl w:val="0"/>
                <w:numId w:val="6"/>
              </w:numPr>
              <w:overflowPunct w:val="0"/>
              <w:autoSpaceDE w:val="0"/>
              <w:autoSpaceDN w:val="0"/>
              <w:adjustRightInd w:val="0"/>
              <w:spacing w:after="180"/>
              <w:textAlignment w:val="baseline"/>
              <w:rPr>
                <w:highlight w:val="yellow"/>
              </w:rPr>
            </w:pPr>
            <w:r>
              <w:rPr>
                <w:highlight w:val="yellow"/>
              </w:rPr>
              <w:t xml:space="preserve">Option 1: </w:t>
            </w:r>
            <w:r>
              <w:rPr>
                <w:rFonts w:eastAsiaTheme="minorEastAsia"/>
                <w:highlight w:val="yellow"/>
              </w:rPr>
              <w:t>N = 8</w:t>
            </w:r>
          </w:p>
          <w:p>
            <w:pPr>
              <w:pStyle w:val="26"/>
              <w:numPr>
                <w:ilvl w:val="1"/>
                <w:numId w:val="7"/>
              </w:numPr>
              <w:ind w:left="1440"/>
              <w:rPr>
                <w:highlight w:val="yellow"/>
              </w:rPr>
            </w:pPr>
            <w:r>
              <w:rPr>
                <w:highlight w:val="yellow"/>
              </w:rPr>
              <w:t xml:space="preserve">Option 2: </w:t>
            </w:r>
            <w:r>
              <w:rPr>
                <w:rFonts w:eastAsiaTheme="minorEastAsia"/>
                <w:highlight w:val="yellow"/>
              </w:rPr>
              <w:t>N = 4</w:t>
            </w:r>
          </w:p>
          <w:p>
            <w:pPr>
              <w:pStyle w:val="26"/>
              <w:numPr>
                <w:ilvl w:val="1"/>
                <w:numId w:val="7"/>
              </w:numPr>
              <w:ind w:left="1440"/>
              <w:rPr>
                <w:rFonts w:hint="default" w:eastAsia="宋体"/>
                <w:sz w:val="22"/>
                <w:szCs w:val="22"/>
                <w:vertAlign w:val="baseline"/>
                <w:lang w:val="en-US" w:eastAsia="zh-CN"/>
              </w:rPr>
            </w:pPr>
            <w:r>
              <w:rPr>
                <w:rFonts w:eastAsiaTheme="minorEastAsia"/>
                <w:highlight w:val="yellow"/>
              </w:rPr>
              <w:t>Option 3: N = 6</w:t>
            </w:r>
          </w:p>
        </w:tc>
      </w:tr>
    </w:tbl>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In this paper we tend to discuss the open issue on beam sweeping factor N.</w:t>
      </w:r>
    </w:p>
    <w:p>
      <w:pPr>
        <w:pStyle w:val="28"/>
        <w:jc w:val="both"/>
        <w:rPr>
          <w:rFonts w:hint="default" w:eastAsia="宋体"/>
          <w:lang w:val="en-US" w:eastAsia="zh-CN"/>
        </w:rPr>
      </w:pPr>
      <w:r>
        <w:t>2</w:t>
      </w:r>
      <w:r>
        <w:tab/>
      </w:r>
      <w:r>
        <w:rPr>
          <w:rFonts w:hint="eastAsia"/>
          <w:lang w:val="en-US" w:eastAsia="zh-CN"/>
        </w:rPr>
        <w:t>Discussion</w:t>
      </w:r>
    </w:p>
    <w:p>
      <w:pPr>
        <w:pStyle w:val="40"/>
        <w:numPr>
          <w:numId w:val="0"/>
        </w:numPr>
        <w:ind w:leftChars="0"/>
        <w:rPr>
          <w:rFonts w:hint="default" w:eastAsia="宋体"/>
          <w:sz w:val="22"/>
          <w:szCs w:val="22"/>
          <w:lang w:val="en-US" w:eastAsia="zh-CN"/>
        </w:rPr>
      </w:pPr>
      <w:r>
        <w:rPr>
          <w:rFonts w:hint="eastAsia" w:eastAsia="宋体"/>
          <w:sz w:val="22"/>
          <w:szCs w:val="22"/>
          <w:lang w:val="en-US" w:eastAsia="zh-CN"/>
        </w:rPr>
        <w:t>The motivation for having a smaller value of N for IAB-MTs compared to UEs is that to reduce the delay for BFR for IAB-MTs. Somehow we think that for IAB-MTs, especially in R16 which will not be mobile, beam failure will not happen frequently. As a matter of fact, under careful planning and deployment, beam failure should be very rare. In this case, reducing the delay by modifying the beam sweeping factor doesn</w:t>
      </w:r>
      <w:r>
        <w:rPr>
          <w:rFonts w:hint="default" w:eastAsia="宋体"/>
          <w:sz w:val="22"/>
          <w:szCs w:val="22"/>
          <w:lang w:val="en-US" w:eastAsia="zh-CN"/>
        </w:rPr>
        <w:t>’</w:t>
      </w:r>
      <w:r>
        <w:rPr>
          <w:rFonts w:hint="eastAsia" w:eastAsia="宋体"/>
          <w:sz w:val="22"/>
          <w:szCs w:val="22"/>
          <w:lang w:val="en-US" w:eastAsia="zh-CN"/>
        </w:rPr>
        <w:t>t bring much benefit.</w:t>
      </w:r>
    </w:p>
    <w:p>
      <w:pPr>
        <w:pStyle w:val="40"/>
        <w:rPr>
          <w:rFonts w:hint="default" w:eastAsia="宋体" w:cs="v4.2.0"/>
          <w:sz w:val="22"/>
          <w:szCs w:val="22"/>
          <w:vertAlign w:val="baseline"/>
          <w:lang w:val="en-US" w:eastAsia="zh-CN"/>
        </w:rPr>
      </w:pPr>
      <w:r>
        <w:rPr>
          <w:rFonts w:hint="eastAsia" w:eastAsia="宋体"/>
          <w:sz w:val="22"/>
          <w:szCs w:val="22"/>
          <w:lang w:val="en-US" w:eastAsia="zh-CN"/>
        </w:rPr>
        <w:t>Under careful planning and deployment, beam failure should be very rare for R16 non-mobile IAB-MTs.</w:t>
      </w:r>
    </w:p>
    <w:p>
      <w:pPr>
        <w:rPr>
          <w:rFonts w:hint="default" w:eastAsia="宋体" w:cs="v4.2.0"/>
          <w:sz w:val="22"/>
          <w:szCs w:val="22"/>
          <w:vertAlign w:val="baseline"/>
          <w:lang w:val="en-US" w:eastAsia="zh-CN"/>
        </w:rPr>
      </w:pPr>
      <w:r>
        <w:rPr>
          <w:rFonts w:hint="eastAsia" w:eastAsia="宋体" w:cs="v4.2.0"/>
          <w:sz w:val="22"/>
          <w:szCs w:val="22"/>
          <w:vertAlign w:val="baseline"/>
          <w:lang w:val="en-US" w:eastAsia="zh-CN"/>
        </w:rPr>
        <w:t xml:space="preserve">Reusing most of existing R15 UE requirements would save the group most time so that the RRM requirements for IAB can be finished timely. As per the status report, the completion rate of IAB specification is already behind schedule, so we think reusing most parts of R15 UE requirements make sense. </w:t>
      </w:r>
    </w:p>
    <w:p>
      <w:pPr>
        <w:pStyle w:val="36"/>
        <w:rPr>
          <w:rFonts w:hint="default" w:eastAsia="宋体" w:cs="v4.2.0"/>
          <w:sz w:val="22"/>
          <w:szCs w:val="22"/>
          <w:vertAlign w:val="baseline"/>
          <w:lang w:val="en-US" w:eastAsia="zh-CN"/>
        </w:rPr>
      </w:pPr>
      <w:r>
        <w:rPr>
          <w:rFonts w:hint="eastAsia" w:eastAsia="宋体"/>
          <w:sz w:val="22"/>
          <w:szCs w:val="22"/>
          <w:lang w:val="en-US" w:eastAsia="zh-CN"/>
        </w:rPr>
        <w:t>Beam sweeping factor N = 8.</w:t>
      </w:r>
    </w:p>
    <w:p>
      <w:pPr>
        <w:pStyle w:val="28"/>
        <w:jc w:val="both"/>
      </w:pPr>
      <w:r>
        <w:rPr>
          <w:rFonts w:hint="eastAsia"/>
          <w:lang w:val="en-US" w:eastAsia="zh-CN"/>
        </w:rPr>
        <w:t>3</w:t>
      </w:r>
      <w:r>
        <w:tab/>
      </w:r>
      <w:r>
        <w:t>Conclusion</w:t>
      </w:r>
    </w:p>
    <w:p>
      <w:pPr>
        <w:pStyle w:val="30"/>
        <w:keepNext w:val="0"/>
        <w:keepLines w:val="0"/>
        <w:pageBreakBefore w:val="0"/>
        <w:widowControl/>
        <w:numPr>
          <w:ilvl w:val="0"/>
          <w:numId w:val="8"/>
        </w:numPr>
        <w:kinsoku/>
        <w:wordWrap/>
        <w:overflowPunct/>
        <w:topLinePunct w:val="0"/>
        <w:autoSpaceDE/>
        <w:autoSpaceDN/>
        <w:bidi w:val="0"/>
        <w:adjustRightInd/>
        <w:snapToGrid/>
        <w:spacing w:line="260" w:lineRule="auto"/>
        <w:ind w:left="0" w:firstLine="0"/>
        <w:textAlignment w:val="auto"/>
        <w:outlineLvl w:val="9"/>
        <w:rPr>
          <w:sz w:val="22"/>
          <w:szCs w:val="22"/>
        </w:rPr>
      </w:pPr>
      <w:r>
        <w:rPr>
          <w:rFonts w:hint="eastAsia" w:eastAsia="宋体"/>
          <w:sz w:val="22"/>
          <w:szCs w:val="22"/>
          <w:lang w:val="en-US" w:eastAsia="zh-CN"/>
        </w:rPr>
        <w:t>Under careful planning and deployment, beam failure should be very rare for R16 non-mobile IAB-MTs.</w:t>
      </w:r>
    </w:p>
    <w:p>
      <w:pPr>
        <w:pStyle w:val="36"/>
        <w:numPr>
          <w:ilvl w:val="0"/>
          <w:numId w:val="0"/>
        </w:numPr>
        <w:ind w:leftChars="0"/>
        <w:rPr>
          <w:rFonts w:hint="default"/>
          <w:sz w:val="22"/>
          <w:szCs w:val="22"/>
          <w:lang w:val="en-US" w:eastAsia="zh-CN"/>
        </w:rPr>
      </w:pPr>
      <w:r>
        <w:rPr>
          <w:rFonts w:hint="default"/>
          <w:sz w:val="22"/>
          <w:szCs w:val="22"/>
          <w:lang w:val="en-US" w:eastAsia="zh-CN"/>
        </w:rPr>
        <w:t xml:space="preserve">Proposal </w:t>
      </w:r>
      <w:r>
        <w:rPr>
          <w:rFonts w:hint="eastAsia"/>
          <w:sz w:val="22"/>
          <w:szCs w:val="22"/>
          <w:lang w:val="en-US" w:eastAsia="zh-CN"/>
        </w:rPr>
        <w:t>1</w:t>
      </w:r>
      <w:bookmarkStart w:id="6" w:name="_GoBack"/>
      <w:bookmarkEnd w:id="6"/>
      <w:r>
        <w:rPr>
          <w:rFonts w:hint="default"/>
          <w:sz w:val="22"/>
          <w:szCs w:val="22"/>
          <w:lang w:val="en-US" w:eastAsia="zh-CN"/>
        </w:rPr>
        <w:t xml:space="preserve">: </w:t>
      </w:r>
      <w:r>
        <w:rPr>
          <w:rFonts w:hint="eastAsia" w:eastAsia="宋体"/>
          <w:sz w:val="22"/>
          <w:szCs w:val="22"/>
          <w:lang w:val="en-US" w:eastAsia="zh-CN"/>
        </w:rPr>
        <w:t>Beam sweeping factor N = 8</w:t>
      </w:r>
      <w:r>
        <w:rPr>
          <w:rFonts w:hint="eastAsia" w:eastAsia="宋体" w:cs="v4.2.0"/>
          <w:sz w:val="22"/>
          <w:szCs w:val="22"/>
          <w:vertAlign w:val="baseline"/>
          <w:lang w:val="en-US" w:eastAsia="zh-CN"/>
        </w:rPr>
        <w:t>.</w:t>
      </w:r>
    </w:p>
    <w:p>
      <w:pPr>
        <w:pStyle w:val="28"/>
        <w:jc w:val="both"/>
      </w:pPr>
      <w:r>
        <w:t>References</w:t>
      </w:r>
    </w:p>
    <w:p>
      <w:pPr>
        <w:numPr>
          <w:ilvl w:val="0"/>
          <w:numId w:val="9"/>
        </w:numPr>
        <w:overflowPunct w:val="0"/>
        <w:autoSpaceDE w:val="0"/>
        <w:autoSpaceDN w:val="0"/>
        <w:adjustRightInd w:val="0"/>
        <w:spacing w:after="120" w:line="240" w:lineRule="auto"/>
        <w:jc w:val="both"/>
        <w:textAlignment w:val="baseline"/>
        <w:rPr>
          <w:lang w:val="en-GB"/>
        </w:rPr>
      </w:pPr>
      <w:bookmarkStart w:id="5" w:name="_Ref2843888"/>
      <w:r>
        <w:rPr>
          <w:rFonts w:hint="eastAsia"/>
          <w:lang w:val="en-GB"/>
        </w:rPr>
        <w:t>RP-193199</w:t>
      </w:r>
      <w:bookmarkEnd w:id="5"/>
    </w:p>
    <w:p>
      <w:pPr>
        <w:numPr>
          <w:ilvl w:val="0"/>
          <w:numId w:val="9"/>
        </w:numPr>
        <w:overflowPunct w:val="0"/>
        <w:autoSpaceDE w:val="0"/>
        <w:autoSpaceDN w:val="0"/>
        <w:adjustRightInd w:val="0"/>
        <w:spacing w:after="120" w:line="240" w:lineRule="auto"/>
        <w:jc w:val="both"/>
        <w:textAlignment w:val="baseline"/>
        <w:rPr>
          <w:lang w:val="en-GB"/>
        </w:rPr>
      </w:pPr>
      <w:r>
        <w:rPr>
          <w:rFonts w:hint="eastAsia"/>
          <w:lang w:val="en-GB"/>
        </w:rPr>
        <w:t>R4-200</w:t>
      </w:r>
      <w:r>
        <w:rPr>
          <w:rFonts w:hint="eastAsia" w:eastAsia="宋体"/>
          <w:lang w:val="en-US" w:eastAsia="zh-CN"/>
        </w:rPr>
        <w:t>5318</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C838D8"/>
    <w:multiLevelType w:val="multilevel"/>
    <w:tmpl w:val="6BC838D8"/>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7"/>
  </w:num>
  <w:num w:numId="5">
    <w:abstractNumId w:val="4"/>
  </w:num>
  <w:num w:numId="6">
    <w:abstractNumId w:val="6"/>
  </w:num>
  <w:num w:numId="7">
    <w:abstractNumId w:val="5"/>
  </w:num>
  <w:num w:numId="8">
    <w:abstractNumId w:val="1"/>
    <w:lvlOverride w:ilvl="0">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448FD"/>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660D4"/>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16EDC"/>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9788D"/>
    <w:rsid w:val="016E368C"/>
    <w:rsid w:val="017B5E4B"/>
    <w:rsid w:val="018D054D"/>
    <w:rsid w:val="01FF08B3"/>
    <w:rsid w:val="026B051B"/>
    <w:rsid w:val="02B274E2"/>
    <w:rsid w:val="02C25D33"/>
    <w:rsid w:val="03186FA1"/>
    <w:rsid w:val="03C6506D"/>
    <w:rsid w:val="03F37217"/>
    <w:rsid w:val="04C77D0A"/>
    <w:rsid w:val="04D5204C"/>
    <w:rsid w:val="059B61E4"/>
    <w:rsid w:val="05A86143"/>
    <w:rsid w:val="06105DAC"/>
    <w:rsid w:val="062F1DED"/>
    <w:rsid w:val="069766CC"/>
    <w:rsid w:val="07502CA2"/>
    <w:rsid w:val="078B76F8"/>
    <w:rsid w:val="079C29C7"/>
    <w:rsid w:val="079D410C"/>
    <w:rsid w:val="07D45C41"/>
    <w:rsid w:val="07ED2976"/>
    <w:rsid w:val="080661C8"/>
    <w:rsid w:val="08641205"/>
    <w:rsid w:val="0868025F"/>
    <w:rsid w:val="0873226E"/>
    <w:rsid w:val="08935729"/>
    <w:rsid w:val="08C654D4"/>
    <w:rsid w:val="08CC5D10"/>
    <w:rsid w:val="092C45E6"/>
    <w:rsid w:val="099F556C"/>
    <w:rsid w:val="09C640C3"/>
    <w:rsid w:val="0A5763D4"/>
    <w:rsid w:val="0A684C4F"/>
    <w:rsid w:val="0A7BF868"/>
    <w:rsid w:val="0AC12B88"/>
    <w:rsid w:val="0B2F05F5"/>
    <w:rsid w:val="0B38708C"/>
    <w:rsid w:val="0B7322DC"/>
    <w:rsid w:val="0BB77882"/>
    <w:rsid w:val="0BD17A34"/>
    <w:rsid w:val="0C3566BC"/>
    <w:rsid w:val="0C391535"/>
    <w:rsid w:val="0C3C5307"/>
    <w:rsid w:val="0C56263C"/>
    <w:rsid w:val="0C5E2B8A"/>
    <w:rsid w:val="0D102274"/>
    <w:rsid w:val="0D8B1463"/>
    <w:rsid w:val="0DA958CA"/>
    <w:rsid w:val="0DC9088C"/>
    <w:rsid w:val="0DF104D3"/>
    <w:rsid w:val="0DF94256"/>
    <w:rsid w:val="0E1C586B"/>
    <w:rsid w:val="0E5237AB"/>
    <w:rsid w:val="0ED138E6"/>
    <w:rsid w:val="0EED584B"/>
    <w:rsid w:val="0F67780F"/>
    <w:rsid w:val="0F8F3C2A"/>
    <w:rsid w:val="0FB648CB"/>
    <w:rsid w:val="0FD0731A"/>
    <w:rsid w:val="0FF1533A"/>
    <w:rsid w:val="0FFE0AFA"/>
    <w:rsid w:val="10A34D44"/>
    <w:rsid w:val="10AA3C13"/>
    <w:rsid w:val="10CD0B75"/>
    <w:rsid w:val="110C4D24"/>
    <w:rsid w:val="116519E1"/>
    <w:rsid w:val="122017FC"/>
    <w:rsid w:val="128409CA"/>
    <w:rsid w:val="12BB3A94"/>
    <w:rsid w:val="12EF585C"/>
    <w:rsid w:val="12FA21C3"/>
    <w:rsid w:val="130A066D"/>
    <w:rsid w:val="13262572"/>
    <w:rsid w:val="136D11EC"/>
    <w:rsid w:val="137D50D6"/>
    <w:rsid w:val="139B3B65"/>
    <w:rsid w:val="13D36053"/>
    <w:rsid w:val="13F75352"/>
    <w:rsid w:val="1480544B"/>
    <w:rsid w:val="14B36B91"/>
    <w:rsid w:val="164F667E"/>
    <w:rsid w:val="165D0583"/>
    <w:rsid w:val="16654289"/>
    <w:rsid w:val="16A740F6"/>
    <w:rsid w:val="16DB79C9"/>
    <w:rsid w:val="16F76B11"/>
    <w:rsid w:val="17141F2D"/>
    <w:rsid w:val="17A076C4"/>
    <w:rsid w:val="17A62BCE"/>
    <w:rsid w:val="17C22275"/>
    <w:rsid w:val="17E826AB"/>
    <w:rsid w:val="18D3414F"/>
    <w:rsid w:val="18D91924"/>
    <w:rsid w:val="19A96435"/>
    <w:rsid w:val="1A0B3A21"/>
    <w:rsid w:val="1B1547E1"/>
    <w:rsid w:val="1B3329B5"/>
    <w:rsid w:val="1B7F155B"/>
    <w:rsid w:val="1C6134BE"/>
    <w:rsid w:val="1C6A6128"/>
    <w:rsid w:val="1D1F1294"/>
    <w:rsid w:val="1D354E67"/>
    <w:rsid w:val="1D3F71FA"/>
    <w:rsid w:val="1E8806BC"/>
    <w:rsid w:val="1E9B2F1B"/>
    <w:rsid w:val="1EA137E3"/>
    <w:rsid w:val="1EE66AFB"/>
    <w:rsid w:val="1F0936F5"/>
    <w:rsid w:val="1F17474D"/>
    <w:rsid w:val="1F2B10F9"/>
    <w:rsid w:val="1F711839"/>
    <w:rsid w:val="200D067C"/>
    <w:rsid w:val="20811B82"/>
    <w:rsid w:val="20A662B2"/>
    <w:rsid w:val="21091739"/>
    <w:rsid w:val="211451D0"/>
    <w:rsid w:val="2151075A"/>
    <w:rsid w:val="2170262B"/>
    <w:rsid w:val="21807FBC"/>
    <w:rsid w:val="219E74A3"/>
    <w:rsid w:val="21CD19D4"/>
    <w:rsid w:val="220539DF"/>
    <w:rsid w:val="22571B82"/>
    <w:rsid w:val="22920D1D"/>
    <w:rsid w:val="22C0245E"/>
    <w:rsid w:val="230B25C1"/>
    <w:rsid w:val="23514077"/>
    <w:rsid w:val="23855295"/>
    <w:rsid w:val="23B20773"/>
    <w:rsid w:val="23CF6D67"/>
    <w:rsid w:val="244F4BD6"/>
    <w:rsid w:val="248F188B"/>
    <w:rsid w:val="24BC3350"/>
    <w:rsid w:val="24E91488"/>
    <w:rsid w:val="25077EC5"/>
    <w:rsid w:val="25151459"/>
    <w:rsid w:val="25630107"/>
    <w:rsid w:val="25962669"/>
    <w:rsid w:val="25A20AC0"/>
    <w:rsid w:val="25C20278"/>
    <w:rsid w:val="2618297D"/>
    <w:rsid w:val="262D62D9"/>
    <w:rsid w:val="26443720"/>
    <w:rsid w:val="26681CAB"/>
    <w:rsid w:val="267E5FCE"/>
    <w:rsid w:val="26B35BAC"/>
    <w:rsid w:val="27572E0B"/>
    <w:rsid w:val="280C272A"/>
    <w:rsid w:val="28352D10"/>
    <w:rsid w:val="284E33F7"/>
    <w:rsid w:val="287A3770"/>
    <w:rsid w:val="289E07C9"/>
    <w:rsid w:val="291141AD"/>
    <w:rsid w:val="293606FA"/>
    <w:rsid w:val="29517179"/>
    <w:rsid w:val="29E7086A"/>
    <w:rsid w:val="2A1219AD"/>
    <w:rsid w:val="2A394321"/>
    <w:rsid w:val="2AE26D3F"/>
    <w:rsid w:val="2AF8774D"/>
    <w:rsid w:val="2B0F6E62"/>
    <w:rsid w:val="2B2B7A87"/>
    <w:rsid w:val="2B4E55E6"/>
    <w:rsid w:val="2B7579C5"/>
    <w:rsid w:val="2B76094A"/>
    <w:rsid w:val="2B920B79"/>
    <w:rsid w:val="2BB04900"/>
    <w:rsid w:val="2C3A3275"/>
    <w:rsid w:val="2C495744"/>
    <w:rsid w:val="2CEE6B8D"/>
    <w:rsid w:val="2D233DAE"/>
    <w:rsid w:val="2D656A57"/>
    <w:rsid w:val="2D8E403A"/>
    <w:rsid w:val="2E0770FA"/>
    <w:rsid w:val="2E145F76"/>
    <w:rsid w:val="2EA86D09"/>
    <w:rsid w:val="2F32226B"/>
    <w:rsid w:val="2F376D10"/>
    <w:rsid w:val="2F596601"/>
    <w:rsid w:val="2FA231C5"/>
    <w:rsid w:val="308B65F2"/>
    <w:rsid w:val="3117229F"/>
    <w:rsid w:val="31395268"/>
    <w:rsid w:val="313B7383"/>
    <w:rsid w:val="318A102B"/>
    <w:rsid w:val="31950F1B"/>
    <w:rsid w:val="31A50177"/>
    <w:rsid w:val="320F0A18"/>
    <w:rsid w:val="32227D1D"/>
    <w:rsid w:val="32351CB2"/>
    <w:rsid w:val="324554E5"/>
    <w:rsid w:val="325D2B5A"/>
    <w:rsid w:val="327661FC"/>
    <w:rsid w:val="3288676B"/>
    <w:rsid w:val="32A12F92"/>
    <w:rsid w:val="32B33B5A"/>
    <w:rsid w:val="32EE27B2"/>
    <w:rsid w:val="33245EFA"/>
    <w:rsid w:val="33372789"/>
    <w:rsid w:val="333876C2"/>
    <w:rsid w:val="33484A1E"/>
    <w:rsid w:val="335F47E9"/>
    <w:rsid w:val="346E4104"/>
    <w:rsid w:val="3476470C"/>
    <w:rsid w:val="34D83C16"/>
    <w:rsid w:val="34D87C7B"/>
    <w:rsid w:val="34FA5652"/>
    <w:rsid w:val="3509315E"/>
    <w:rsid w:val="351A4CC6"/>
    <w:rsid w:val="35F16798"/>
    <w:rsid w:val="37705F34"/>
    <w:rsid w:val="377700B0"/>
    <w:rsid w:val="37846083"/>
    <w:rsid w:val="37AF7036"/>
    <w:rsid w:val="380927B5"/>
    <w:rsid w:val="3876150B"/>
    <w:rsid w:val="39073059"/>
    <w:rsid w:val="392739EA"/>
    <w:rsid w:val="392D38AD"/>
    <w:rsid w:val="3946679B"/>
    <w:rsid w:val="39925150"/>
    <w:rsid w:val="399A43EA"/>
    <w:rsid w:val="39E04A77"/>
    <w:rsid w:val="3A0F1960"/>
    <w:rsid w:val="3A166029"/>
    <w:rsid w:val="3A23663F"/>
    <w:rsid w:val="3A364B42"/>
    <w:rsid w:val="3AF216E5"/>
    <w:rsid w:val="3B02469B"/>
    <w:rsid w:val="3B30671A"/>
    <w:rsid w:val="3B5662AC"/>
    <w:rsid w:val="3C4F6AF8"/>
    <w:rsid w:val="3C727D51"/>
    <w:rsid w:val="3CCC387D"/>
    <w:rsid w:val="3CCE203C"/>
    <w:rsid w:val="3D0C1655"/>
    <w:rsid w:val="3D4E48C8"/>
    <w:rsid w:val="3D77737D"/>
    <w:rsid w:val="3DC04E13"/>
    <w:rsid w:val="3DD244E7"/>
    <w:rsid w:val="3E5B41D6"/>
    <w:rsid w:val="3ECE16FA"/>
    <w:rsid w:val="3F072EB0"/>
    <w:rsid w:val="3FF55768"/>
    <w:rsid w:val="40566CBF"/>
    <w:rsid w:val="405B0BEF"/>
    <w:rsid w:val="407921CE"/>
    <w:rsid w:val="40C04FE0"/>
    <w:rsid w:val="4117526A"/>
    <w:rsid w:val="416D11E1"/>
    <w:rsid w:val="41AA7137"/>
    <w:rsid w:val="41EC58FB"/>
    <w:rsid w:val="42381A71"/>
    <w:rsid w:val="426B0C9E"/>
    <w:rsid w:val="42841694"/>
    <w:rsid w:val="429266C7"/>
    <w:rsid w:val="42AF1322"/>
    <w:rsid w:val="42B30ACF"/>
    <w:rsid w:val="42E73C10"/>
    <w:rsid w:val="430903EA"/>
    <w:rsid w:val="43140EC2"/>
    <w:rsid w:val="43EE582E"/>
    <w:rsid w:val="43F92766"/>
    <w:rsid w:val="43FB3DA4"/>
    <w:rsid w:val="44022066"/>
    <w:rsid w:val="441C4006"/>
    <w:rsid w:val="449E489D"/>
    <w:rsid w:val="44B24294"/>
    <w:rsid w:val="451019FB"/>
    <w:rsid w:val="455B13AC"/>
    <w:rsid w:val="45CF3CD0"/>
    <w:rsid w:val="45D95F13"/>
    <w:rsid w:val="460567D8"/>
    <w:rsid w:val="462F25DF"/>
    <w:rsid w:val="46620161"/>
    <w:rsid w:val="477A6D83"/>
    <w:rsid w:val="47C304FD"/>
    <w:rsid w:val="47C357A6"/>
    <w:rsid w:val="47D77F02"/>
    <w:rsid w:val="487C3875"/>
    <w:rsid w:val="489059E6"/>
    <w:rsid w:val="48977283"/>
    <w:rsid w:val="48FA3778"/>
    <w:rsid w:val="49896512"/>
    <w:rsid w:val="4996414B"/>
    <w:rsid w:val="49BA3D71"/>
    <w:rsid w:val="4A2F7724"/>
    <w:rsid w:val="4A5C70F1"/>
    <w:rsid w:val="4AB61A05"/>
    <w:rsid w:val="4AF26B9D"/>
    <w:rsid w:val="4BB65435"/>
    <w:rsid w:val="4BCE1489"/>
    <w:rsid w:val="4BEA1EE4"/>
    <w:rsid w:val="4BFB2D49"/>
    <w:rsid w:val="4C293566"/>
    <w:rsid w:val="4C723787"/>
    <w:rsid w:val="4CF05EAC"/>
    <w:rsid w:val="4D102CB4"/>
    <w:rsid w:val="4D1463CD"/>
    <w:rsid w:val="4D9E609E"/>
    <w:rsid w:val="4E0243C8"/>
    <w:rsid w:val="4E170FC7"/>
    <w:rsid w:val="4E8D652C"/>
    <w:rsid w:val="4EA61F19"/>
    <w:rsid w:val="4EB053BD"/>
    <w:rsid w:val="4FBC6FAF"/>
    <w:rsid w:val="4FC37410"/>
    <w:rsid w:val="4FDC68F3"/>
    <w:rsid w:val="50005DA1"/>
    <w:rsid w:val="502A6272"/>
    <w:rsid w:val="5041435B"/>
    <w:rsid w:val="50564CCA"/>
    <w:rsid w:val="505A1CB0"/>
    <w:rsid w:val="50911EAF"/>
    <w:rsid w:val="509778C7"/>
    <w:rsid w:val="511E1DE8"/>
    <w:rsid w:val="514D66AE"/>
    <w:rsid w:val="5154719F"/>
    <w:rsid w:val="51773E2A"/>
    <w:rsid w:val="51C36178"/>
    <w:rsid w:val="51C53170"/>
    <w:rsid w:val="52702E41"/>
    <w:rsid w:val="5280421D"/>
    <w:rsid w:val="52A51D80"/>
    <w:rsid w:val="52BF27F0"/>
    <w:rsid w:val="52DB2793"/>
    <w:rsid w:val="52FC10E1"/>
    <w:rsid w:val="535E62F0"/>
    <w:rsid w:val="5361709F"/>
    <w:rsid w:val="53705401"/>
    <w:rsid w:val="53752E8D"/>
    <w:rsid w:val="53832E83"/>
    <w:rsid w:val="53A74DC7"/>
    <w:rsid w:val="53C44BEA"/>
    <w:rsid w:val="53D45151"/>
    <w:rsid w:val="540D782C"/>
    <w:rsid w:val="54221908"/>
    <w:rsid w:val="542835DF"/>
    <w:rsid w:val="542F1421"/>
    <w:rsid w:val="544B51D2"/>
    <w:rsid w:val="544D013B"/>
    <w:rsid w:val="546C32BA"/>
    <w:rsid w:val="55352F87"/>
    <w:rsid w:val="5553143F"/>
    <w:rsid w:val="55B42DC5"/>
    <w:rsid w:val="56E81135"/>
    <w:rsid w:val="56FF2A90"/>
    <w:rsid w:val="57221ADC"/>
    <w:rsid w:val="573B229E"/>
    <w:rsid w:val="578545C8"/>
    <w:rsid w:val="57FF7814"/>
    <w:rsid w:val="586B2608"/>
    <w:rsid w:val="58E20C36"/>
    <w:rsid w:val="592D7AE2"/>
    <w:rsid w:val="593554F0"/>
    <w:rsid w:val="59C007BC"/>
    <w:rsid w:val="5A3078C5"/>
    <w:rsid w:val="5AAC4CA7"/>
    <w:rsid w:val="5ADF3A74"/>
    <w:rsid w:val="5AE53367"/>
    <w:rsid w:val="5B0B0083"/>
    <w:rsid w:val="5B5559A3"/>
    <w:rsid w:val="5BC0364C"/>
    <w:rsid w:val="5BC3228B"/>
    <w:rsid w:val="5C3B1FEA"/>
    <w:rsid w:val="5C6A01BF"/>
    <w:rsid w:val="5C9D5A80"/>
    <w:rsid w:val="5D041ECD"/>
    <w:rsid w:val="5D2023E3"/>
    <w:rsid w:val="5E2D4C21"/>
    <w:rsid w:val="5EE41E2E"/>
    <w:rsid w:val="5EF92809"/>
    <w:rsid w:val="5F025A64"/>
    <w:rsid w:val="5F0F00DA"/>
    <w:rsid w:val="5F520F91"/>
    <w:rsid w:val="5F5E6814"/>
    <w:rsid w:val="60017F85"/>
    <w:rsid w:val="6045086B"/>
    <w:rsid w:val="6068085A"/>
    <w:rsid w:val="60745B63"/>
    <w:rsid w:val="61051332"/>
    <w:rsid w:val="614B3FC4"/>
    <w:rsid w:val="62302F88"/>
    <w:rsid w:val="62812953"/>
    <w:rsid w:val="62B7743E"/>
    <w:rsid w:val="64116858"/>
    <w:rsid w:val="648D5222"/>
    <w:rsid w:val="64A33C21"/>
    <w:rsid w:val="64B2258D"/>
    <w:rsid w:val="64D35246"/>
    <w:rsid w:val="65596380"/>
    <w:rsid w:val="65997784"/>
    <w:rsid w:val="65C64C37"/>
    <w:rsid w:val="65C65264"/>
    <w:rsid w:val="661E18B5"/>
    <w:rsid w:val="66AB371C"/>
    <w:rsid w:val="66AE1192"/>
    <w:rsid w:val="66C26880"/>
    <w:rsid w:val="66CA69C3"/>
    <w:rsid w:val="67A81CBF"/>
    <w:rsid w:val="67DA4215"/>
    <w:rsid w:val="67E42DFA"/>
    <w:rsid w:val="680A09E1"/>
    <w:rsid w:val="6837438D"/>
    <w:rsid w:val="6860443E"/>
    <w:rsid w:val="68EB3ADC"/>
    <w:rsid w:val="69462386"/>
    <w:rsid w:val="6A2870D5"/>
    <w:rsid w:val="6A7016FE"/>
    <w:rsid w:val="6AC66DB8"/>
    <w:rsid w:val="6AFC6812"/>
    <w:rsid w:val="6B4942AC"/>
    <w:rsid w:val="6B4E0765"/>
    <w:rsid w:val="6B5E2EC6"/>
    <w:rsid w:val="6C26718E"/>
    <w:rsid w:val="6C42065A"/>
    <w:rsid w:val="6C6F44FD"/>
    <w:rsid w:val="6CD4731D"/>
    <w:rsid w:val="6D121910"/>
    <w:rsid w:val="6D3205F0"/>
    <w:rsid w:val="6DB702B4"/>
    <w:rsid w:val="6E1766F0"/>
    <w:rsid w:val="6E504618"/>
    <w:rsid w:val="6EB20078"/>
    <w:rsid w:val="6F5579D7"/>
    <w:rsid w:val="6F801AF8"/>
    <w:rsid w:val="6F8906F0"/>
    <w:rsid w:val="6F8D5AAE"/>
    <w:rsid w:val="6FFF59CB"/>
    <w:rsid w:val="70160759"/>
    <w:rsid w:val="70200B37"/>
    <w:rsid w:val="70336F79"/>
    <w:rsid w:val="7037013D"/>
    <w:rsid w:val="704E4A67"/>
    <w:rsid w:val="70995673"/>
    <w:rsid w:val="70A27F1E"/>
    <w:rsid w:val="70AA0AC2"/>
    <w:rsid w:val="70EA7511"/>
    <w:rsid w:val="71112353"/>
    <w:rsid w:val="71143E21"/>
    <w:rsid w:val="71AF43AC"/>
    <w:rsid w:val="72867A39"/>
    <w:rsid w:val="72C82EA5"/>
    <w:rsid w:val="72EE3608"/>
    <w:rsid w:val="7327462F"/>
    <w:rsid w:val="732F59FD"/>
    <w:rsid w:val="732F7900"/>
    <w:rsid w:val="734B5574"/>
    <w:rsid w:val="7355417D"/>
    <w:rsid w:val="736C3FBB"/>
    <w:rsid w:val="73A85DC8"/>
    <w:rsid w:val="73C32C41"/>
    <w:rsid w:val="74573DE9"/>
    <w:rsid w:val="749900DE"/>
    <w:rsid w:val="74D53B99"/>
    <w:rsid w:val="75206F1B"/>
    <w:rsid w:val="753A7704"/>
    <w:rsid w:val="754C1AAF"/>
    <w:rsid w:val="75A12878"/>
    <w:rsid w:val="75C63BA1"/>
    <w:rsid w:val="76761DE7"/>
    <w:rsid w:val="76991F3B"/>
    <w:rsid w:val="76D8737F"/>
    <w:rsid w:val="76E279D7"/>
    <w:rsid w:val="772E0626"/>
    <w:rsid w:val="7752184A"/>
    <w:rsid w:val="7754709D"/>
    <w:rsid w:val="776E285A"/>
    <w:rsid w:val="779E3171"/>
    <w:rsid w:val="77B02D8D"/>
    <w:rsid w:val="77C0093D"/>
    <w:rsid w:val="77C90B9C"/>
    <w:rsid w:val="78384CBC"/>
    <w:rsid w:val="784258BF"/>
    <w:rsid w:val="78654C62"/>
    <w:rsid w:val="78F44922"/>
    <w:rsid w:val="793758F2"/>
    <w:rsid w:val="79763A57"/>
    <w:rsid w:val="79DC6C3F"/>
    <w:rsid w:val="79ED4DBE"/>
    <w:rsid w:val="7A250260"/>
    <w:rsid w:val="7A787ECB"/>
    <w:rsid w:val="7A8B51CB"/>
    <w:rsid w:val="7AB507FA"/>
    <w:rsid w:val="7AC634CB"/>
    <w:rsid w:val="7AD2745F"/>
    <w:rsid w:val="7C3A7105"/>
    <w:rsid w:val="7C41564D"/>
    <w:rsid w:val="7C8E16C9"/>
    <w:rsid w:val="7CB358D9"/>
    <w:rsid w:val="7CB561C0"/>
    <w:rsid w:val="7CCC277F"/>
    <w:rsid w:val="7CE3033A"/>
    <w:rsid w:val="7D0A2590"/>
    <w:rsid w:val="7D155693"/>
    <w:rsid w:val="7D54493D"/>
    <w:rsid w:val="7D550752"/>
    <w:rsid w:val="7D6A7A29"/>
    <w:rsid w:val="7DCA3349"/>
    <w:rsid w:val="7DCC5A45"/>
    <w:rsid w:val="7E8B6D0C"/>
    <w:rsid w:val="7F285EA4"/>
    <w:rsid w:val="7F787EDB"/>
    <w:rsid w:val="7FDD5E4C"/>
    <w:rsid w:val="7FE41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rPr>
      <w:sz w:val="24"/>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2020-05-15T02:53:45Z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